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footer+xml" PartName="/word/footer1.xml"/>
  <Override ContentType="application/vnd.openxmlformats-officedocument.wordprocessingml.footer+xml" PartName="/word/footer2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tbl>
      <w:tblPr>
        <w:tblW w:type="pct" w:w="100%"/>
        <w:tblBorders>
          <w:top w:val="none" w:color="FFFFFF" w:sz="0"/>
          <w:left w:val="none" w:color="FFFFFF" w:sz="0"/>
          <w:bottom w:val="none" w:color="FFFFFF" w:sz="0"/>
          <w:right w:val="none" w:color="FFFFFF" w:sz="0"/>
          <w:insideH w:val="none" w:color="FFFFFF" w:sz="0"/>
          <w:insideV w:val="none" w:color="FFFFFF" w:sz="0"/>
        </w:tblBorders>
      </w:tblPr>
      <w:tblGrid>
        <w:gridCol w:w="4700"/>
        <w:gridCol w:w="4700"/>
      </w:tblGrid>
      <w:tr>
        <w:tc>
          <w:tcPr>
            <w:tcW w:type="pct" w:w="50%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[организационно-правовая форма,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полное наименование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общеобразовательной организации]</w:t>
            </w:r>
          </w:p>
        </w:tc>
        <w:tc>
          <w:tcPr>
            <w:tcW w:type="pct" w:w="50%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УТВЕРЖДАЮ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/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Директор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[наименование Организации]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/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_______________ /_________________/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     (подпись)          (И. О. Фамилия)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/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«____» _______________ 20____ г.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/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М. П.</w:t>
            </w:r>
          </w:p>
        </w:tc>
      </w:tr>
    </w:tbl>
    <w:p>
      <w:pPr>
        <w:spacing w:after="200" w:before="0" w:line="276"/>
        <w:ind w:left="0" w:firstLine="0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/>
      </w:r>
    </w:p>
    <w:p>
      <w:pPr>
        <w:spacing w:after="60" w:before="120" w:line="276"/>
        <w:jc w:val="center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ДОЛЖНОСТНАЯ ИНСТРУКЦИЯ</w:t>
      </w:r>
    </w:p>
    <w:p>
      <w:pPr>
        <w:spacing w:after="60" w:line="276"/>
        <w:jc w:val="center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сторожа (вахтёра)</w:t>
      </w:r>
    </w:p>
    <w:p>
      <w:pPr>
        <w:spacing w:after="240" w:line="276"/>
        <w:jc w:val="center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[наименование общеобразовательной организации]</w:t>
      </w:r>
    </w:p>
    <w:tbl>
      <w:tblPr>
        <w:tblW w:type="pct" w:w="100%"/>
        <w:tblBorders>
          <w:top w:val="none" w:color="FFFFFF" w:sz="0"/>
          <w:left w:val="none" w:color="FFFFFF" w:sz="0"/>
          <w:bottom w:val="none" w:color="FFFFFF" w:sz="0"/>
          <w:right w:val="none" w:color="FFFFFF" w:sz="0"/>
          <w:insideH w:val="none" w:color="FFFFFF" w:sz="0"/>
          <w:insideV w:val="none" w:color="FFFFFF" w:sz="0"/>
        </w:tblBorders>
      </w:tblPr>
      <w:tblGrid>
        <w:gridCol w:w="4700"/>
        <w:gridCol w:w="4700"/>
      </w:tblGrid>
      <w:tr>
        <w:tc>
          <w:tcPr>
            <w:tcW w:type="pct" w:w="50%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«____» ____________ 20____ г.   № ________</w:t>
            </w:r>
          </w:p>
        </w:tc>
        <w:tc>
          <w:tcPr>
            <w:tcW w:type="pct" w:w="50%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spacing w:after="0" w:line="240"/>
              <w:jc w:val="righ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[место составления (издания)]</w:t>
            </w:r>
          </w:p>
        </w:tc>
      </w:tr>
    </w:tbl>
    <w:p>
      <w:pPr>
        <w:spacing w:after="200" w:before="0" w:line="276"/>
        <w:ind w:left="0" w:firstLine="0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/>
      </w:r>
    </w:p>
    <w:p>
      <w:pPr>
        <w:spacing w:after="120" w:before="0" w:line="276"/>
        <w:ind w:left="0" w:firstLine="708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Настоящая должностная инструкция разработана и утверждена в соответствии с положениями Трудового кодекса Российской Федерации, Федерального закона от 29 декабря 2012 г. № 273-ФЗ «Об образовании в Российской Федерации», Единого тарифно-квалификационного справочника работ и профессий рабочих, выпуск 1, раздел «Профессии рабочих, общие для всех отраслей народного хозяйства» (постановление Госкомтруда СССР и Секретариата ВЦСПС от 31 января 1985 г. № 31/3-30) и иных нормативных правовых актов, регулирующих трудовые правоотношения.</w:t>
      </w:r>
    </w:p>
    <w:p>
      <w:pPr>
        <w:spacing w:after="120" w:before="0" w:line="276"/>
        <w:ind w:left="0" w:firstLine="708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Далее по тексту настоящей инструкции под Организацией понимается общеобразовательная организация, под работником — работник, замещающий должность «Сторож (вахтёр)», под обучающимися — лица, осваивающие образовательные программы начального общего, основного общего и среднего общего образования.</w:t>
      </w:r>
    </w:p>
    <w:p>
      <w:pPr>
        <w:pStyle w:val="Heading1"/>
        <w:keepNext/>
        <w:spacing w:after="120" w:before="240" w:line="276"/>
        <w:jc w:val="center"/>
      </w:pPr>
      <w:r>
        <w:rPr>
          <w:rFonts w:ascii="Times New Roman" w:cs="Times New Roman" w:eastAsia="Times New Roman" w:hAnsi="Times New Roman"/>
          <w:b/>
          <w:bCs/>
          <w:sz w:val="24"/>
          <w:szCs w:val="24"/>
        </w:rPr>
        <w:t xml:space="preserve">1. Общие положения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1.1. Сторож (вахтёр) относится к категории рабочих Организации.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1.2. Сторож (вахтёр) принимается на работу и увольняется приказом директора Организации.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1.3. Сторож (вахтёр) непосредственно подчиняется директору Организации (заместителю директора по административно-хозяйственной работе или заведующему хозяйством — при наличии этих должностей в штатном расписании); в период дежурства выполняет указания дежурного администратора (при его назначении приказом директора).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1.4. Сторож (вахтёр) не является работником частной охранной организации и не осуществляет охранную деятельность в значении Закона Российской Федерации от 11 марта 1992 г. № 2487-I «О частной детективной и охранной деятельности в Российской Федерации». Функции сторожа (вахтёра) ограничены наблюдением за объектом, контролем доступа и оповещением.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1.5. Квалификационные требования: среднее общее образование и инструктаж на рабочем месте; без предъявления требований к стажу работы.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1.6. В соответствии со статьёй 351.1 ТК РФ к трудовой деятельности в сфере образования, воспитания, развития несовершеннолетних не допускается лицо: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имеющее или имевшее судимость, а равно и подвергавшееся уголовному преследованию (за исключением лиц, уголовное преследование в отношении которых прекращено по реабилитирующим основаниям) за преступления, указанные в абзацах третьем и четвёртом части второй статьи 331 ТК РФ, за исключением случаев, предусмотренных частью третьей статьи 351.1 ТК РФ;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признанное недееспособным в установленном федеральным законом порядке;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имеющее заболевания, предусмотренные перечнем, утверждаемым уполномоченным федеральным органом исполнительной власти.</w:t>
      </w:r>
    </w:p>
    <w:p>
      <w:pPr>
        <w:spacing w:after="60" w:before="0" w:line="276"/>
        <w:ind w:left="708" w:firstLine="0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Работодатель обязан отстранить от работы (не допускать к работе) работника при получении от правоохранительных органов сведений о том, что он подвергается уголовному преследованию за преступления, указанные в абзацах третьем и четвёртом части второй статьи 331 ТК РФ, на весь период производства по уголовному делу.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1.7. Работник должен знать: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локальные нормативные акты Организации о пропускном и внутриобъектовом режимах, порядок допуска на объект (территорию);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схему здания и территории, расположение эвакуационных выходов, запасных выходов, мест размещения первичных средств пожаротушения и электрощитовых;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порядок эксплуатации систем охранной и пожарной сигнализации, оповещения, видеонаблюдения, тревожной кнопки;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порядок действий при пожаре, аварии, чрезвычайной ситуации, при угрозе террористического характера, при обнаружении подозрительных предметов;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номера телефонов экстренных служб, руководства Организации, учредителя, аварийных и обслуживающих организаций;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порядок ведения журнала приёма и сдачи дежурства, журнала регистрации посетителей;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требования охраны труда и пожарной безопасности.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1.8. В своей деятельности работник руководствуется: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Конституцией Российской Федерации;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Трудовым кодексом Российской Федерации;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Федеральным законом от 29 декабря 2012 г. № 273-ФЗ «Об образовании в Российской Федерации»;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Федеральным законом от 27 июля 2006 г. № 152-ФЗ «О персональных данных»;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Федеральным законом от 30 марта 1999 г. № 52-ФЗ «О санитарно-эпидемиологическом благополучии населения»;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СП 2.4.2.4283-26 «Санитарно-эпидемиологические требования к организациям воспитания и обучения, отдыха и оздоровления детей и молодёжи» (постановление Главного государственного санитарного врача Российской Федерации от 2 июня 2026 г. № 19, действуют с 1 сентября 2026 г.);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СанПиН 1.2.3685-21 (постановление Главного государственного санитарного врача Российской Федерации от 28 января 2021 г. № 2);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уставом Организации, коллективным договором, правилами внутреннего трудового распорядка, иными локальными нормативными актами Организации, с которыми работник ознакомлен под подпись;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трудовым договором и настоящей должностной инструкцией.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1.9. Режим рабочего времени. Режим рабочего времени устанавливается графиком сменности, утверждаемым с учётом мнения представительного органа работников и доводимым до работника не позднее чем за один месяц до введения в действие (статья 103 ТК РФ). При сменной работе применяется суммированный учёт рабочего времени с учётным периодом, установленным правилами внутреннего трудового распорядка, но не более одного года (статья 104 ТК РФ). Работа в ночное время оплачивается в повышенном размере (статья 154 ТК РФ).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1.10. Отпуск. Ежегодный основной оплачиваемый отпуск продолжительностью 28 календарных дней (статья 115 ТК РФ).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1.11. До допуска к работе и в дальнейшем в установленные сроки работник проходит: обязательный предварительный (при поступлении на работу) и периодические медицинские осмотры в порядке, установленном приказом Минтруда России и Минздрава России от 31 декабря 2020 г. № 988н/1420н и приказом Минздрава России от 28 января 2021 г. № 29н; профессиональную гигиеническую подготовку и аттестацию (при приёме на работу и далее не реже одного раза в два года, работники организаций общественного питания — ежегодно); вакцинацию в соответствии с национальным календарём профилактических прививок. Работник обязан иметь личную медицинскую книжку с результатами медицинских обследований и лабораторных исследований, сведениями о прививках, перенесённых инфекционных заболеваниях, о прохождении профессиональной гигиенической подготовки и аттестации с допуском к работе (пункт 5 СП 2.4.2.4283-26).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1.12. Работник проходит обучение по охране труда и проверку знания требований охраны труда, обучение по оказанию первой помощи пострадавшим, обучение по использованию (применению) средств индивидуальной защиты, инструктажи по охране труда и пожарной безопасности, стажировку на рабочем месте (для установленных категорий работников) в порядке и сроки, предусмотренные Правилами обучения по охране труда и проверки знания требований охраны труда (постановление Правительства Российской Федерации от 24 декабря 2021 г. № 2464 в редакции постановления от 30 июня 2026 г. № 805).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1.13. На время отсутствия сторожа (вахтёра) его обязанности исполняет другой сторож (вахтёр) в соответствии с графиком сменности либо иной работник, назначенный приказом директора и прошедший необходимые инструктажи.</w:t>
      </w:r>
    </w:p>
    <w:p>
      <w:pPr>
        <w:pStyle w:val="Heading1"/>
        <w:keepNext/>
        <w:spacing w:after="120" w:before="240" w:line="276"/>
        <w:jc w:val="center"/>
      </w:pPr>
      <w:r>
        <w:rPr>
          <w:rFonts w:ascii="Times New Roman" w:cs="Times New Roman" w:eastAsia="Times New Roman" w:hAnsi="Times New Roman"/>
          <w:b/>
          <w:bCs/>
          <w:sz w:val="24"/>
          <w:szCs w:val="24"/>
        </w:rPr>
        <w:t xml:space="preserve">2. Должностные обязанности</w:t>
      </w:r>
    </w:p>
    <w:p>
      <w:pPr>
        <w:spacing w:after="60" w:before="0" w:line="276"/>
        <w:ind w:left="0" w:firstLine="708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На работника возлагаются следующие должностные обязанности.</w:t>
      </w:r>
    </w:p>
    <w:p>
      <w:pPr>
        <w:pStyle w:val="Heading2"/>
        <w:keepNext/>
        <w:spacing w:after="60" w:before="120" w:line="276"/>
        <w:ind w:firstLine="708"/>
        <w:jc w:val="left"/>
      </w:pPr>
      <w:r>
        <w:rPr>
          <w:rFonts w:ascii="Times New Roman" w:cs="Times New Roman" w:eastAsia="Times New Roman" w:hAnsi="Times New Roman"/>
          <w:b/>
          <w:bCs/>
          <w:i/>
          <w:iCs/>
          <w:sz w:val="24"/>
          <w:szCs w:val="24"/>
        </w:rPr>
        <w:t xml:space="preserve">Обеспечение сохранности объекта и контроль доступа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2.1. Осуществлять приём и сдачу дежурства с осмотром здания, помещений, территории, ограждения, эвакуационных выходов, состояния запоров, пломб, средств сигнализации и освещения, с записью в журнале приёма и сдачи дежурства.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2.2. Осуществлять контроль доступа в здание и на территорию Организации в соответствии с установленным пропускным режимом, вести регистрацию посетителей.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2.3. Не допускать в здание и на территорию посторонних лиц, лиц в состоянии опьянения, а также не допускать пронос предметов и веществ, запрещённых локальными нормативными актами Организации.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2.4. Осуществлять обход здания и территории в установленное графиком время, проверять состояние окон, дверей, запасных выходов, наружного освещения, целостность ограждения.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2.5. Контролировать исправность систем охранной и пожарной сигнализации, оповещения, видеонаблюдения, тревожной кнопки; проверять их работоспособность в установленном порядке.</w:t>
      </w:r>
    </w:p>
    <w:p>
      <w:pPr>
        <w:pStyle w:val="Heading2"/>
        <w:keepNext/>
        <w:spacing w:after="60" w:before="120" w:line="276"/>
        <w:ind w:firstLine="708"/>
        <w:jc w:val="left"/>
      </w:pPr>
      <w:r>
        <w:rPr>
          <w:rFonts w:ascii="Times New Roman" w:cs="Times New Roman" w:eastAsia="Times New Roman" w:hAnsi="Times New Roman"/>
          <w:b/>
          <w:bCs/>
          <w:i/>
          <w:iCs/>
          <w:sz w:val="24"/>
          <w:szCs w:val="24"/>
        </w:rPr>
        <w:t xml:space="preserve">Действия при чрезвычайных ситуациях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2.6. При срабатывании сигнализации, обнаружении признаков возгорания, аварии, проникновения на объект — немедленно вызывать экстренные службы, оповещать директора Организации и действовать в соответствии с локальными инструкциями.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2.7. При обнаружении подозрительных предметов — не приближаться к ним, не трогать, ограничить доступ, немедленно сообщить в экстренные службы и директору.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2.8. Обеспечивать открытие эвакуационных выходов и беспрепятственный доступ подразделений экстренных служб на объект.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2.9. При приёме и передаче объекта фиксировать все происшествия, замечания и принятые меры в журнале приёма и сдачи дежурства.</w:t>
      </w:r>
    </w:p>
    <w:p>
      <w:pPr>
        <w:pStyle w:val="Heading2"/>
        <w:keepNext/>
        <w:spacing w:after="60" w:before="120" w:line="276"/>
        <w:ind w:firstLine="708"/>
        <w:jc w:val="left"/>
      </w:pPr>
      <w:r>
        <w:rPr>
          <w:rFonts w:ascii="Times New Roman" w:cs="Times New Roman" w:eastAsia="Times New Roman" w:hAnsi="Times New Roman"/>
          <w:b/>
          <w:bCs/>
          <w:i/>
          <w:iCs/>
          <w:sz w:val="24"/>
          <w:szCs w:val="24"/>
        </w:rPr>
        <w:t xml:space="preserve">Соблюдение трудовой дисциплины и охраны труда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2.10. Не оставлять пост без разрешения директора или лица, его замещающего; не допускать сна на рабочем месте.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2.11. Не допускать на пост посторонних лиц, не передавать ключи от помещений лицам, не имеющим на это права; вести учёт выдачи и приёма ключей.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2.12. Соблюдать требования охраны труда и пожарной безопасности; не использовать неисправные электроприборы, не загромождать пути эвакуации.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2.13. Проходить обучение по охране труда, пожарной безопасности, оказанию первой помощи, инструктажи и стажировку на рабочем месте; проходить обязательные медицинские осмотры в установленных случаях.</w:t>
      </w:r>
    </w:p>
    <w:p>
      <w:pPr>
        <w:pStyle w:val="Heading1"/>
        <w:keepNext/>
        <w:spacing w:after="120" w:before="240" w:line="276"/>
        <w:jc w:val="center"/>
      </w:pPr>
      <w:r>
        <w:rPr>
          <w:rFonts w:ascii="Times New Roman" w:cs="Times New Roman" w:eastAsia="Times New Roman" w:hAnsi="Times New Roman"/>
          <w:b/>
          <w:bCs/>
          <w:sz w:val="24"/>
          <w:szCs w:val="24"/>
        </w:rPr>
        <w:t xml:space="preserve">3. Права</w:t>
      </w:r>
    </w:p>
    <w:p>
      <w:pPr>
        <w:spacing w:after="60" w:before="0" w:line="276"/>
        <w:ind w:left="0" w:firstLine="708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Работник имеет право: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3.1. требовать от посетителей соблюдения установленного пропускного и внутриобъектового режимов, предъявления документа, удостоверяющего личность;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3.2. не допускать на объект лиц, нарушающих пропускной режим, и вызывать сотрудников органов внутренних дел;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3.3. требовать обеспечения рабочего места средствами связи, освещением, исправными техническими средствами охраны;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3.4. вносить предложения по улучшению организации пропускного режима и обеспечения безопасности объекта.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3.5. знакомиться с проектами решений директора Организации, касающимися его деятельности;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3.6. вносить на рассмотрение директора Организации предложения по совершенствованию работы, связанной с обязанностями, предусмотренными настоящей инструкцией;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3.7. запрашивать и получать от работников Организации информацию и документы, необходимые для выполнения своих должностных обязанностей;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3.8. требовать от директора Организации обеспечения организационно-технических условий, необходимых для исполнения должностных обязанностей, в том числе предоставления оборудования, инвентаря, средств индивидуальной защиты и рабочего места, соответствующего требованиям охраны труда;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3.9. отказаться от выполнения работ в случае возникновения опасности для жизни и здоровья вследствие нарушения требований охраны труда до устранения такой опасности (статья 216 ТК РФ);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3.10. на защиту профессиональной чести и достоинства, ознакомление с жалобами и другими документами, содержащими оценку его работы, и дачу по ним объяснений;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3.11. на все предусмотренные законодательством Российской Федерации социальные гарантии, в том числе на обязательное социальное страхование.</w:t>
      </w:r>
    </w:p>
    <w:p>
      <w:pPr>
        <w:pStyle w:val="Heading1"/>
        <w:keepNext/>
        <w:spacing w:after="120" w:before="240" w:line="276"/>
        <w:jc w:val="center"/>
      </w:pPr>
      <w:r>
        <w:rPr>
          <w:rFonts w:ascii="Times New Roman" w:cs="Times New Roman" w:eastAsia="Times New Roman" w:hAnsi="Times New Roman"/>
          <w:b/>
          <w:bCs/>
          <w:sz w:val="24"/>
          <w:szCs w:val="24"/>
        </w:rPr>
        <w:t xml:space="preserve">4. Ответственность</w:t>
      </w:r>
    </w:p>
    <w:p>
      <w:pPr>
        <w:spacing w:after="60" w:before="0" w:line="276"/>
        <w:ind w:left="0" w:firstLine="708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Работник несёт ответственность только при наличии предусмотренных законом оснований, доказанной вины и причинной связи, с соблюдением установленной процедуры привлечения к ответственности: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4.1. за неисполнение или ненадлежащее исполнение своих обязанностей, предусмотренных настоящей должностной инструкцией, — в пределах, определённых трудовым законодательством Российской Федерации;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4.2. за правонарушения, совершённые в процессе осуществления своей деятельности, — в пределах, определённых действующим административным, уголовным и гражданским законодательством Российской Федерации;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4.3. за причинение материального ущерба — в пределах, определённых действующим трудовым и гражданским законодательством Российской Федерации. Работник несёт материальную ответственность за прямой действительный ущерб; неполученные доходы (упущенная выгода) взысканию с работника не подлежат (статья 238 ТК РФ). Полная материальная ответственность возлагается только в случаях, прямо предусмотренных статьёй 243 ТК РФ;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4.4. за нарушение требований охраны труда, пожарной безопасности, санитарных правил и правил внутреннего трудового распорядка — в порядке и пределах, установленных законодательством Российской Федерации;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4.5. за разглашение персональных данных обучающихся, их родителей (законных представителей) и работников, а равно за иную неправомерную обработку персональных данных — в соответствии с законодательством Российской Федерации.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4.6. за сохранность имущества Организации в период дежурства в пределах возложенных обязанностей — в порядке, установленном законодательством Российской Федерации;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4.7. за несвоевременное оповещение экстренных служб и руководства Организации при возникновении чрезвычайной ситуации — в порядке, установленном законодательством Российской Федерации;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4.8. за оставление поста без разрешения — в порядке, установленном трудовым законодательством Российской Федерации.</w:t>
      </w:r>
    </w:p>
    <w:p>
      <w:pPr>
        <w:spacing w:after="60" w:before="0" w:line="276"/>
        <w:ind w:left="0" w:firstLine="708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Порядок применения дисциплинарных взысканий установлен статьями 192 и 193 ТК РФ. Привлечение работника к дисциплинарной ответственности без истребования письменного объяснения и соблюдения установленных сроков не допускается.</w:t>
      </w:r>
    </w:p>
    <w:p>
      <w:pPr>
        <w:pStyle w:val="Heading1"/>
        <w:keepNext/>
        <w:spacing w:after="120" w:before="240" w:line="276"/>
        <w:jc w:val="center"/>
      </w:pPr>
      <w:r>
        <w:rPr>
          <w:rFonts w:ascii="Times New Roman" w:cs="Times New Roman" w:eastAsia="Times New Roman" w:hAnsi="Times New Roman"/>
          <w:b/>
          <w:bCs/>
          <w:sz w:val="24"/>
          <w:szCs w:val="24"/>
        </w:rPr>
        <w:t xml:space="preserve">5. Заключительные положения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5.1. Настоящая должностная инструкция разработана в соответствии с законодательством Российской Федерации, уставом Организации и локальными нормативными актами Организации, принятыми с учётом мнения представительного органа работников.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5.2. Настоящая должностная инструкция вступает в силу с даты, указанной в приказе о введении её в действие, но не ранее даты её утверждения, и действует до её замены новой должностной инструкцией. Если приказ о введении в действие не издавался, инструкция вступает в силу со дня её утверждения.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5.3. Работник знакомится с должностной инструкцией под подпись до подписания трудового договора (часть третья статьи 68 ТК РФ). Один экземпляр инструкции выдаётся работнику на руки либо обеспечивается его доступ к актуальной электронной версии.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5.4. Если должностная инструкция является приложением к трудовому договору, внесение в неё изменений оформляется в порядке, установленном для изменения условий трудового договора (статьи 72, 74 ТК РФ). Изменение трудовой функции работника в одностороннем порядке не допускается.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5.5. Настоящая должностная инструкция пересматривается при изменении законодательства Российской Федерации, устава Организации, штатного расписания, структуры Организации, реализуемых образовательных программ, применяемых технологий и условий труда, а также по результатам специальной оценки условий труда. Периодичность планового пересмотра законодательством не установлена и определяется работодателем самостоятельно.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5.6. При противоречии положений настоящей инструкции нормативному правовому акту большей юридической силы применяется нормативный правовой акт. О выявленном противоречии работник письменно уведомляет директора Организации.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5.7. Возложение на работника обязанностей, не предусмотренных настоящей должностной инструкцией и выходящих за пределы его трудовой функции, допускается только с письменного согласия работника, с оформлением совмещения (расширения зон обслуживания, увеличения объёма работы) и доплатой в порядке статьи 60.2 и статьи 151 ТК РФ.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5.8. Материальная ответственность в полном размере, доверенности, допуски и специальные назначения оформляются отдельными документами при наличии предусмотренных законом оснований.</w:t>
      </w:r>
    </w:p>
    <w:p>
      <w:pPr>
        <w:spacing w:after="120" w:before="240" w:line="276"/>
        <w:ind w:left="0" w:firstLine="0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/>
      </w:r>
    </w:p>
    <w:tbl>
      <w:tblPr>
        <w:tblW w:type="pct" w:w="100%"/>
        <w:tblBorders>
          <w:top w:val="none" w:color="FFFFFF" w:sz="0"/>
          <w:left w:val="none" w:color="FFFFFF" w:sz="0"/>
          <w:bottom w:val="none" w:color="FFFFFF" w:sz="0"/>
          <w:right w:val="none" w:color="FFFFFF" w:sz="0"/>
          <w:insideH w:val="none" w:color="FFFFFF" w:sz="0"/>
          <w:insideV w:val="none" w:color="FFFFFF" w:sz="0"/>
        </w:tblBorders>
      </w:tblPr>
      <w:tblGrid>
        <w:gridCol w:w="4700"/>
        <w:gridCol w:w="4700"/>
      </w:tblGrid>
      <w:tr>
        <w:tc>
          <w:tcPr>
            <w:tcW w:type="pct" w:w="50%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Должностную инструкцию разработал: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/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_______________  __________  ____________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   (должность)      (подпись)   (И. О. Фамилия)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/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«____» ____________ 20____ г.</w:t>
            </w:r>
          </w:p>
        </w:tc>
        <w:tc>
          <w:tcPr>
            <w:tcW w:type="pct" w:w="50%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СОГЛАСОВАНО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/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_______________  __________  ____________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   (должность)      (подпись)   (И. О. Фамилия)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/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«____» ____________ 20____ г.</w:t>
            </w:r>
          </w:p>
        </w:tc>
      </w:tr>
    </w:tbl>
    <w:p>
      <w:pPr>
        <w:spacing w:after="200" w:before="0" w:line="276"/>
        <w:ind w:left="0" w:firstLine="0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/>
      </w:r>
    </w:p>
    <w:p>
      <w:pPr>
        <w:spacing w:after="120" w:before="0" w:line="276"/>
        <w:ind w:left="0" w:firstLine="708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С должностной инструкцией ознакомлен(а), права и обязанности мне разъяснены и понятны. Второй экземпляр должностной инструкции получен на руки (либо обеспечен доступ к актуальной электронной версии):</w:t>
      </w:r>
    </w:p>
    <w:tbl>
      <w:tblPr>
        <w:tblW w:type="pct" w:w="100%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</w:tblPr>
      <w:tblGrid>
        <w:gridCol w:w="700"/>
        <w:gridCol w:w="3200"/>
        <w:gridCol w:w="2200"/>
        <w:gridCol w:w="1700"/>
        <w:gridCol w:w="1600"/>
      </w:tblGrid>
      <w:tr>
        <w:trPr>
          <w:cantSplit/>
          <w:tblHeader/>
        </w:trPr>
        <w:tc>
          <w:tcPr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i w:val="false"/>
                <w:iCs w:val="false"/>
                <w:sz w:val="22"/>
                <w:szCs w:val="22"/>
              </w:rPr>
              <w:t xml:space="preserve">№</w:t>
            </w:r>
          </w:p>
        </w:tc>
        <w:tc>
          <w:tcPr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i w:val="false"/>
                <w:iCs w:val="false"/>
                <w:sz w:val="22"/>
                <w:szCs w:val="22"/>
              </w:rPr>
              <w:t xml:space="preserve">Фамилия, имя, отчество (при наличии)</w:t>
            </w:r>
          </w:p>
        </w:tc>
        <w:tc>
          <w:tcPr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i w:val="false"/>
                <w:iCs w:val="false"/>
                <w:sz w:val="22"/>
                <w:szCs w:val="22"/>
              </w:rPr>
              <w:t xml:space="preserve">Должность</w:t>
            </w:r>
          </w:p>
        </w:tc>
        <w:tc>
          <w:tcPr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i w:val="false"/>
                <w:iCs w:val="false"/>
                <w:sz w:val="22"/>
                <w:szCs w:val="22"/>
              </w:rPr>
              <w:t xml:space="preserve">Дата</w:t>
            </w:r>
          </w:p>
        </w:tc>
        <w:tc>
          <w:tcPr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i w:val="false"/>
                <w:iCs w:val="false"/>
                <w:sz w:val="22"/>
                <w:szCs w:val="22"/>
              </w:rPr>
              <w:t xml:space="preserve">Подпись</w:t>
            </w:r>
          </w:p>
        </w:tc>
      </w:tr>
      <w:tr>
        <w:trPr>
          <w:cantSplit/>
        </w:trPr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>1</w:t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</w:tr>
      <w:tr>
        <w:trPr>
          <w:cantSplit/>
        </w:trPr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>2</w:t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</w:tr>
      <w:tr>
        <w:trPr>
          <w:cantSplit/>
        </w:trPr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>3</w:t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</w:tr>
      <w:tr>
        <w:trPr>
          <w:cantSplit/>
        </w:trPr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>4</w:t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</w:tr>
    </w:tbl>
    <w:p>
      <w:pPr>
        <w:spacing w:after="200" w:before="0" w:line="276"/>
        <w:ind w:left="0" w:firstLine="0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/>
      </w:r>
    </w:p>
    <w:p>
      <w:pPr>
        <w:spacing w:after="60" w:before="0" w:line="276"/>
        <w:ind w:left="0" w:firstLine="0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/>
          <w:iCs/>
          <w:caps w:val="false"/>
          <w:sz w:val="22"/>
          <w:szCs w:val="22"/>
        </w:rPr>
        <w:t xml:space="preserve">Справочно. Срок хранения индивидуальной должностной инструкции — 50/75 лет ЭПК (статья 443 Перечня типовых управленческих архивных документов, утверждённого приказом Росархива от 20 декабря 2019 г. № 236); типовой должностной инструкции — 3 года после замены новой (статья 442 того же Перечня). Должностная инструкция, оформленная приложением к трудовому договору, хранится вместе с трудовым договором (статья 435 Перечня). Настоящий документ оформлен по ГОСТ Р 7.0.97-2025; левое поле 30 мм установлено как для документов длительных (свыше 10 лет) сроков хранения (пункт 6.1 стандарта).</w:t>
      </w:r>
    </w:p>
    <w:sectPr>
      <w:headerReference w:type="default" r:id="rId7"/>
      <w:headerReference w:type="first" r:id="rId8"/>
      <w:footerReference w:type="default" r:id="rId9"/>
      <w:footerReference w:type="first" r:id="rId10"/>
      <w:pgSz w:w="11906" w:h="16838" w:orient="portrait"/>
      <w:pgMar w:top="1133" w:right="566" w:bottom="1133" w:left="1700" w:header="566" w:footer="566" w:gutter="0"/>
      <w:pgNumType/>
      <w:titlePg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spacing w:after="0" w:line="24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spacing w:after="0" w:line="240"/>
      <w:jc w:val="center"/>
    </w:pPr>
    <w:r>
      <w:rPr>
        <w:rFonts w:ascii="Times New Roman" w:cs="Times New Roman" w:eastAsia="Times New Roman" w:hAnsi="Times New Roman"/>
        <w:i/>
        <w:iCs/>
        <w:sz w:val="18"/>
        <w:szCs w:val="18"/>
      </w:rPr>
      <w:t xml:space="preserve">© АНО «Научно-образовательный центр педагогических проектов», 2026.</w:t>
    </w:r>
  </w:p>
  <w:p>
    <w:pPr>
      <w:spacing w:after="0" w:line="240"/>
      <w:jc w:val="center"/>
    </w:pPr>
    <w:r>
      <w:rPr>
        <w:rFonts w:ascii="Times New Roman" w:cs="Times New Roman" w:eastAsia="Times New Roman" w:hAnsi="Times New Roman"/>
        <w:i/>
        <w:iCs/>
        <w:sz w:val="18"/>
        <w:szCs w:val="18"/>
      </w:rPr>
      <w:t xml:space="preserve">Материал подготовлен в методических целях. Источник: педпроект.рф.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spacing w:after="0" w:line="240"/>
      <w:jc w:val="center"/>
    </w:pPr>
    <w:r>
      <w:rPr>
        <w:rFonts w:ascii="Times New Roman" w:cs="Times New Roman" w:eastAsia="Times New Roman" w:hAnsi="Times New Roman"/>
        <w:sz w:val="24"/>
        <w:szCs w:val="24"/>
      </w:rPr>
      <w:fldChar w:fldCharType="begin"/>
      <w:instrText xml:space="preserve">PAGE</w:instrText>
      <w:fldChar w:fldCharType="separate"/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spacing w:after="0" w:line="24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cs="Times New Roman" w:eastAsia="Times New Roman" w:hAnsi="Times New Roman"/>
        <w:sz w:val="24"/>
        <w:szCs w:val="24"/>
      </w:rPr>
    </w:rPrDefault>
    <w:pPrDefault>
      <w:pPr>
        <w:spacing w:line="276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pPr>
      <w:keepNext/>
      <w:spacing w:after="120" w:before="240" w:line="276"/>
      <w:jc w:val="center"/>
      <w:outlineLvl w:val="0"/>
    </w:pPr>
    <w:rPr>
      <w:rFonts w:ascii="Times New Roman" w:cs="Times New Roman" w:eastAsia="Times New Roman" w:hAnsi="Times New Roman"/>
      <w:b/>
      <w:bCs/>
      <w:color w:val="000000"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spacing w:after="60" w:before="120" w:line="276"/>
      <w:jc w:val="left"/>
      <w:outlineLvl w:val="1"/>
    </w:pPr>
    <w:rPr>
      <w:rFonts w:ascii="Times New Roman" w:cs="Times New Roman" w:eastAsia="Times New Roman" w:hAnsi="Times New Roman"/>
      <w:b/>
      <w:bCs/>
      <w:i/>
      <w:iCs/>
      <w:color w:val="000000"/>
      <w:sz w:val="24"/>
      <w:szCs w:val="24"/>
    </w:rPr>
  </w:style>
  <w:style w:type="paragraph" w:styleId="Heading3">
    <w:name w:val="Heading 3"/>
    <w:basedOn w:val="Normal"/>
    <w:next w:val="Normal"/>
    <w:qFormat/>
    <w:pPr>
      <w:keepNext/>
      <w:spacing w:after="60" w:before="120" w:line="276"/>
      <w:jc w:val="left"/>
      <w:outlineLvl w:val="2"/>
    </w:pPr>
    <w:rPr>
      <w:rFonts w:ascii="Times New Roman" w:cs="Times New Roman" w:eastAsia="Times New Roman" w:hAnsi="Times New Roman"/>
      <w:b/>
      <w:bCs/>
      <w:color w:val="000000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header" Target="header2.xml"/><Relationship Id="rId9" Type="http://schemas.openxmlformats.org/officeDocument/2006/relationships/footer" Target="footer1.xml"/><Relationship Id="rId10" Type="http://schemas.openxmlformats.org/officeDocument/2006/relationships/footer" Target="footer2.xml"/><Relationship Id="rId11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er2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word/_rels/header2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Должностная инструкция сторожа (вахтёра)</dc:title>
  <dc:creator>АНО «НОЦ ПЕДПРОЕКТОВ»; педпроект.рф</dc:creator>
  <dc:description>Должностная инструкция сторожа (вахтёра) общеобразовательной организации на 2026/2027 учебный год</dc:description>
  <cp:lastModifiedBy>Un-named</cp:lastModifiedBy>
  <cp:revision>1</cp:revision>
  <dcterms:created xsi:type="dcterms:W3CDTF">2026-08-26T14:08:39Z</dcterms:created>
  <dcterms:modified xsi:type="dcterms:W3CDTF">2026-08-26T14:08:39Z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